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jc w:val="center"/>
      </w:pPr>
      <w:r>
        <w:drawing>
          <wp:inline xmlns:a="http://schemas.openxmlformats.org/drawingml/2006/main" xmlns:pic="http://schemas.openxmlformats.org/drawingml/2006/picture">
            <wp:extent cx="1325880" cy="517417"/>
            <wp:docPr id="1" name="Picture 1"/>
            <wp:cNvGraphicFramePr>
              <a:graphicFrameLocks noChangeAspect="1"/>
            </wp:cNvGraphicFramePr>
            <a:graphic>
              <a:graphicData uri="http://schemas.openxmlformats.org/drawingml/2006/picture">
                <pic:pic>
                  <pic:nvPicPr>
                    <pic:cNvPr id="0" name="logo-wilburn.png"/>
                    <pic:cNvPicPr/>
                  </pic:nvPicPr>
                  <pic:blipFill>
                    <a:blip r:embed="rId11"/>
                    <a:stretch>
                      <a:fillRect/>
                    </a:stretch>
                  </pic:blipFill>
                  <pic:spPr>
                    <a:xfrm>
                      <a:off x="0" y="0"/>
                      <a:ext cx="1325880" cy="517417"/>
                    </a:xfrm>
                    <a:prstGeom prst="rect"/>
                  </pic:spPr>
                </pic:pic>
              </a:graphicData>
            </a:graphic>
          </wp:inline>
        </w:drawing>
      </w:r>
    </w:p>
    <w:p>
      <w:pPr>
        <w:spacing w:before="40" w:after="160"/>
        <w:jc w:val="center"/>
      </w:pPr>
      <w:r>
        <w:rPr>
          <w:rFonts w:ascii="Calibri" w:hAnsi="Calibri"/>
          <w:b/>
          <w:i w:val="0"/>
          <w:color w:val="C8A43B"/>
          <w:sz w:val="21"/>
        </w:rPr>
        <w:t>PUBLIC CAPABILITY STATEMENT</w:t>
      </w:r>
    </w:p>
    <w:p>
      <w:pPr>
        <w:spacing w:before="0" w:after="140"/>
        <w:jc w:val="center"/>
      </w:pPr>
      <w:r>
        <w:rPr>
          <w:rFonts w:ascii="Calibri" w:hAnsi="Calibri"/>
          <w:b/>
          <w:i w:val="0"/>
          <w:color w:val="092F26"/>
          <w:sz w:val="58"/>
        </w:rPr>
        <w:t>Wilburn Hauling, Inc.</w:t>
      </w:r>
    </w:p>
    <w:p>
      <w:pPr>
        <w:spacing w:before="0" w:after="400"/>
        <w:jc w:val="center"/>
      </w:pPr>
      <w:r>
        <w:rPr>
          <w:rFonts w:ascii="Calibri" w:hAnsi="Calibri"/>
          <w:b/>
          <w:i w:val="0"/>
          <w:color w:val="56615D"/>
          <w:sz w:val="27"/>
        </w:rPr>
        <w:t>Full-Service Solid Waste Services | Maryland · District of Columbia · Northern Virginia</w:t>
      </w:r>
    </w:p>
    <w:tbl>
      <w:tblPr>
        <w:tblW w:type="dxa" w:w="9360"/>
        <w:jc w:val="left"/>
        <w:tblLayout w:type="fixed"/>
        <w:tblLook w:firstColumn="1" w:firstRow="1" w:lastColumn="0" w:lastRow="0" w:noHBand="0" w:noVBand="1" w:val="04A0"/>
        <w:tblInd w:w="120" w:type="dxa"/>
      </w:tblPr>
      <w:tblGrid>
        <w:gridCol w:w="4680"/>
        <w:gridCol w:w="4680"/>
      </w:tblGrid>
      <w:tr>
        <w:tc>
          <w:tcPr>
            <w:tcW w:type="dxa" w:w="468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092F26"/>
                <w:sz w:val="21"/>
              </w:rPr>
              <w:t>Women-Owned Small Business</w:t>
            </w:r>
          </w:p>
        </w:tc>
        <w:tc>
          <w:tcPr>
            <w:tcW w:type="dxa" w:w="468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092F26"/>
                <w:sz w:val="21"/>
              </w:rPr>
              <w:t>SBA 8(a) Participant</w:t>
            </w:r>
          </w:p>
        </w:tc>
      </w:tr>
      <w:tr>
        <w:tc>
          <w:tcPr>
            <w:tcW w:type="dxa" w:w="468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092F26"/>
                <w:sz w:val="21"/>
              </w:rPr>
              <w:t>UEID  F5JTME7NXPT9</w:t>
            </w:r>
          </w:p>
        </w:tc>
        <w:tc>
          <w:tcPr>
            <w:tcW w:type="dxa" w:w="468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092F26"/>
                <w:sz w:val="21"/>
              </w:rPr>
              <w:t>CAGE Code  8HL56</w:t>
            </w:r>
          </w:p>
        </w:tc>
      </w:tr>
    </w:tbl>
    <w:p>
      <w:pPr>
        <w:pStyle w:val="Heading1"/>
      </w:pPr>
      <w:r>
        <w:t>Company Overview</w:t>
      </w:r>
    </w:p>
    <w:p>
      <w:r>
        <w:rPr>
          <w:rFonts w:ascii="Calibri" w:hAnsi="Calibri"/>
          <w:b w:val="0"/>
          <w:i w:val="0"/>
          <w:color w:val="111512"/>
          <w:sz w:val="22"/>
        </w:rPr>
        <w:t>Wilburn Hauling, Inc. is a full-service solid-waste company providing refuse, recycling, construction-debris hauling and disposal services in Maryland, the District of Columbia and Northern Virginia. Wilburn is a Women-Owned SBA 8(a) certified small business.</w:t>
      </w:r>
    </w:p>
    <w:p>
      <w:r>
        <w:rPr>
          <w:rFonts w:ascii="Calibri" w:hAnsi="Calibri"/>
          <w:b w:val="0"/>
          <w:i w:val="0"/>
          <w:color w:val="111512"/>
          <w:sz w:val="22"/>
        </w:rPr>
        <w:t>With more than 30 years of solid-waste management experience, Wilburn can conform to collection and management requirements to satisfy performance objectives. Corporate strategy is based on high-quality service with operational excellence.</w:t>
      </w:r>
    </w:p>
    <w:p>
      <w:pPr>
        <w:pStyle w:val="Heading1"/>
      </w:pPr>
      <w:r>
        <w:t>Core Capabilities</w:t>
      </w:r>
    </w:p>
    <w:p>
      <w:pPr>
        <w:pStyle w:val="ListBullet"/>
        <w:spacing w:after="80" w:line="300" w:lineRule="auto"/>
        <w:ind w:left="540" w:hanging="271"/>
      </w:pPr>
      <w:r>
        <w:rPr>
          <w:rFonts w:ascii="Calibri" w:hAnsi="Calibri"/>
          <w:b w:val="0"/>
          <w:i w:val="0"/>
          <w:color w:val="111512"/>
          <w:sz w:val="22"/>
        </w:rPr>
        <w:t>Refuse collection and solid-waste management</w:t>
      </w:r>
    </w:p>
    <w:p>
      <w:pPr>
        <w:pStyle w:val="ListBullet"/>
        <w:spacing w:after="80" w:line="300" w:lineRule="auto"/>
        <w:ind w:left="540" w:hanging="271"/>
      </w:pPr>
      <w:r>
        <w:rPr>
          <w:rFonts w:ascii="Calibri" w:hAnsi="Calibri"/>
          <w:b w:val="0"/>
          <w:i w:val="0"/>
          <w:color w:val="111512"/>
          <w:sz w:val="22"/>
        </w:rPr>
        <w:t>Recycling collection and program support</w:t>
      </w:r>
    </w:p>
    <w:p>
      <w:pPr>
        <w:pStyle w:val="ListBullet"/>
        <w:spacing w:after="80" w:line="300" w:lineRule="auto"/>
        <w:ind w:left="540" w:hanging="271"/>
      </w:pPr>
      <w:r>
        <w:rPr>
          <w:rFonts w:ascii="Calibri" w:hAnsi="Calibri"/>
          <w:b w:val="0"/>
          <w:i w:val="0"/>
          <w:color w:val="111512"/>
          <w:sz w:val="22"/>
        </w:rPr>
        <w:t>Construction-debris collection and hauling</w:t>
      </w:r>
    </w:p>
    <w:p>
      <w:pPr>
        <w:pStyle w:val="ListBullet"/>
        <w:spacing w:after="80" w:line="300" w:lineRule="auto"/>
        <w:ind w:left="540" w:hanging="271"/>
      </w:pPr>
      <w:r>
        <w:rPr>
          <w:rFonts w:ascii="Calibri" w:hAnsi="Calibri"/>
          <w:b w:val="0"/>
          <w:i w:val="0"/>
          <w:color w:val="111512"/>
          <w:sz w:val="22"/>
        </w:rPr>
        <w:t>Disposal services</w:t>
      </w:r>
    </w:p>
    <w:p>
      <w:pPr>
        <w:pStyle w:val="ListBullet"/>
        <w:spacing w:after="80" w:line="300" w:lineRule="auto"/>
        <w:ind w:left="540" w:hanging="271"/>
      </w:pPr>
      <w:r>
        <w:rPr>
          <w:rFonts w:ascii="Calibri" w:hAnsi="Calibri"/>
          <w:b w:val="0"/>
          <w:i w:val="0"/>
          <w:color w:val="111512"/>
          <w:sz w:val="22"/>
        </w:rPr>
        <w:t>Collection-center and interior-building operations</w:t>
      </w:r>
    </w:p>
    <w:p>
      <w:pPr>
        <w:pStyle w:val="ListBullet"/>
        <w:spacing w:after="80" w:line="300" w:lineRule="auto"/>
        <w:ind w:left="540" w:hanging="271"/>
      </w:pPr>
      <w:r>
        <w:rPr>
          <w:rFonts w:ascii="Calibri" w:hAnsi="Calibri"/>
          <w:b w:val="0"/>
          <w:i w:val="0"/>
          <w:color w:val="111512"/>
          <w:sz w:val="22"/>
        </w:rPr>
        <w:t>Front-load container and bulk roll-off collection</w:t>
      </w:r>
    </w:p>
    <w:p>
      <w:pPr>
        <w:pStyle w:val="Heading1"/>
      </w:pPr>
      <w:r>
        <w:t>Corporate Strengths</w:t>
      </w:r>
    </w:p>
    <w:tbl>
      <w:tblPr>
        <w:tblW w:type="dxa" w:w="9360"/>
        <w:jc w:val="left"/>
        <w:tblLayout w:type="fixed"/>
        <w:tblLook w:firstColumn="1" w:firstRow="1" w:lastColumn="0" w:lastRow="0" w:noHBand="0" w:noVBand="1" w:val="04A0"/>
        <w:tblInd w:w="120" w:type="dxa"/>
      </w:tblPr>
      <w:tblGrid>
        <w:gridCol w:w="4680"/>
        <w:gridCol w:w="4680"/>
      </w:tblGrid>
      <w:tr>
        <w:tc>
          <w:tcPr>
            <w:tcW w:type="dxa" w:w="4680"/>
            <w:shd w:fill="F7F7F2"/>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after="60"/>
            </w:pPr>
            <w:r/>
            <w:r>
              <w:rPr>
                <w:rFonts w:ascii="Calibri" w:hAnsi="Calibri"/>
                <w:b/>
                <w:i w:val="0"/>
                <w:color w:val="5C176D"/>
                <w:sz w:val="22"/>
              </w:rPr>
              <w:t>Operations Management</w:t>
              <w:br/>
            </w:r>
            <w:r>
              <w:rPr>
                <w:rFonts w:ascii="Calibri" w:hAnsi="Calibri"/>
                <w:b w:val="0"/>
                <w:i w:val="0"/>
                <w:color w:val="111512"/>
                <w:sz w:val="21"/>
              </w:rPr>
              <w:t>Service planning grounded in 30 years of solid-waste experience.</w:t>
            </w:r>
          </w:p>
        </w:tc>
        <w:tc>
          <w:tcPr>
            <w:tcW w:type="dxa" w:w="4680"/>
            <w:shd w:fill="F7F7F2"/>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after="60"/>
            </w:pPr>
            <w:r/>
            <w:r>
              <w:rPr>
                <w:rFonts w:ascii="Calibri" w:hAnsi="Calibri"/>
                <w:b/>
                <w:i w:val="0"/>
                <w:color w:val="5C176D"/>
                <w:sz w:val="22"/>
              </w:rPr>
              <w:t>Contract Management</w:t>
              <w:br/>
            </w:r>
            <w:r>
              <w:rPr>
                <w:rFonts w:ascii="Calibri" w:hAnsi="Calibri"/>
                <w:b w:val="0"/>
                <w:i w:val="0"/>
                <w:color w:val="111512"/>
                <w:sz w:val="21"/>
              </w:rPr>
              <w:t>Experience aligning operations with performance requirements.</w:t>
            </w:r>
          </w:p>
        </w:tc>
      </w:tr>
      <w:tr>
        <w:tc>
          <w:tcPr>
            <w:tcW w:type="dxa" w:w="4680"/>
            <w:shd w:fill="F7F7F2"/>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after="60"/>
            </w:pPr>
            <w:r/>
            <w:r>
              <w:rPr>
                <w:rFonts w:ascii="Calibri" w:hAnsi="Calibri"/>
                <w:b/>
                <w:i w:val="0"/>
                <w:color w:val="5C176D"/>
                <w:sz w:val="22"/>
              </w:rPr>
              <w:t>Quality Control</w:t>
              <w:br/>
            </w:r>
            <w:r>
              <w:rPr>
                <w:rFonts w:ascii="Calibri" w:hAnsi="Calibri"/>
                <w:b w:val="0"/>
                <w:i w:val="0"/>
                <w:color w:val="111512"/>
                <w:sz w:val="21"/>
              </w:rPr>
              <w:t>Development of quality-control criteria and reporting requirements.</w:t>
            </w:r>
          </w:p>
        </w:tc>
        <w:tc>
          <w:tcPr>
            <w:tcW w:type="dxa" w:w="4680"/>
            <w:shd w:fill="F7F7F2"/>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after="60"/>
            </w:pPr>
            <w:r/>
            <w:r>
              <w:rPr>
                <w:rFonts w:ascii="Calibri" w:hAnsi="Calibri"/>
                <w:b/>
                <w:i w:val="0"/>
                <w:color w:val="5C176D"/>
                <w:sz w:val="22"/>
              </w:rPr>
              <w:t>Mobilization</w:t>
              <w:br/>
            </w:r>
            <w:r>
              <w:rPr>
                <w:rFonts w:ascii="Calibri" w:hAnsi="Calibri"/>
                <w:b w:val="0"/>
                <w:i w:val="0"/>
                <w:color w:val="111512"/>
                <w:sz w:val="21"/>
              </w:rPr>
              <w:t>Pricing, mobilization and implementation process expertise.</w:t>
            </w:r>
          </w:p>
        </w:tc>
      </w:tr>
    </w:tbl>
    <w:p>
      <w:r>
        <w:br w:type="page"/>
      </w:r>
    </w:p>
    <w:p>
      <w:pPr>
        <w:pStyle w:val="Heading1"/>
      </w:pPr>
      <w:r>
        <w:t>Business Information</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Legal name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Wilburn Hauling, Inc.</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Business status</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Women-Owned; SBA 8(a) certified small business</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SBA 8(a) participation</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January 28, 2021 – April 21, 2030</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UEID</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F5JTME7NXPT9</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CAGE Code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8HL56</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Service area</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Maryland; District of Columbia; Northern Virginia</w:t>
            </w:r>
          </w:p>
        </w:tc>
      </w:tr>
    </w:tbl>
    <w:p>
      <w:pPr>
        <w:spacing w:after="40"/>
      </w:pPr>
    </w:p>
    <w:p>
      <w:pPr>
        <w:pStyle w:val="Heading1"/>
      </w:pPr>
      <w:r>
        <w:t>Leadership and Management</w:t>
      </w:r>
    </w:p>
    <w:p>
      <w:pPr>
        <w:pStyle w:val="Heading2"/>
      </w:pPr>
      <w:r>
        <w:t>Lashene Wilburn — President/CEO</w:t>
      </w:r>
    </w:p>
    <w:p>
      <w:r>
        <w:rPr>
          <w:rFonts w:ascii="Calibri" w:hAnsi="Calibri"/>
          <w:b w:val="0"/>
          <w:i w:val="0"/>
          <w:color w:val="111512"/>
          <w:sz w:val="22"/>
        </w:rPr>
        <w:t>Thirty years of solid-waste experience with operations-management and contract-management expertise.</w:t>
      </w:r>
    </w:p>
    <w:p>
      <w:pPr>
        <w:pStyle w:val="Heading2"/>
      </w:pPr>
      <w:r>
        <w:t>Sam Evans — Contracts/PM</w:t>
      </w:r>
    </w:p>
    <w:p>
      <w:r>
        <w:rPr>
          <w:rFonts w:ascii="Calibri" w:hAnsi="Calibri"/>
          <w:b w:val="0"/>
          <w:i w:val="0"/>
          <w:color w:val="111512"/>
          <w:sz w:val="22"/>
        </w:rPr>
        <w:t>Thirty-five years of business-management experience working with small businesses, including development of quality-control criteria and reporting requirements and development of pricing, mobilization and implementation processes.</w:t>
      </w:r>
    </w:p>
    <w:p>
      <w:pPr>
        <w:pStyle w:val="Heading1"/>
      </w:pPr>
      <w:r>
        <w:t>Selected Federal Past Performance</w:t>
      </w:r>
    </w:p>
    <w:p>
      <w:r>
        <w:rPr>
          <w:rFonts w:ascii="Calibri" w:hAnsi="Calibri"/>
          <w:b w:val="0"/>
          <w:i w:val="0"/>
          <w:color w:val="111512"/>
          <w:sz w:val="22"/>
        </w:rPr>
        <w:t>The following public summaries omit government representatives and direct contact information.</w:t>
      </w:r>
    </w:p>
    <w:tbl>
      <w:tblPr>
        <w:tblW w:type="dxa" w:w="9360"/>
        <w:jc w:val="left"/>
        <w:tblLayout w:type="fixed"/>
        <w:tblLook w:firstColumn="1" w:firstRow="1" w:lastColumn="0" w:lastRow="0" w:noHBand="0" w:noVBand="1" w:val="04A0"/>
        <w:tblInd w:w="120" w:type="dxa"/>
      </w:tblPr>
      <w:tblGrid>
        <w:gridCol w:w="2700"/>
        <w:gridCol w:w="6660"/>
      </w:tblGrid>
      <w:tr>
        <w:tc>
          <w:tcPr>
            <w:tcW w:type="dxa" w:w="9360"/>
            <w:gridSpan w:val="2"/>
            <w:shd w:fill="092F26"/>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FFFFFF"/>
                <w:sz w:val="24"/>
              </w:rPr>
              <w:t>Aberdeen Proving Ground</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Service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Solid Waste and Recycling Collection Services</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Contract type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Firm Fixed and IDIQ</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Start date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June 12, 2023</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Scope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Collection-center operations, 100 interior buildings, 650 front-load containers and bulk roll-off collection.</w:t>
            </w:r>
          </w:p>
        </w:tc>
      </w:tr>
    </w:tbl>
    <w:p>
      <w:pPr>
        <w:spacing w:after="40"/>
      </w:pPr>
    </w:p>
    <w:tbl>
      <w:tblPr>
        <w:tblW w:type="dxa" w:w="9360"/>
        <w:jc w:val="left"/>
        <w:tblLayout w:type="fixed"/>
        <w:tblLook w:firstColumn="1" w:firstRow="1" w:lastColumn="0" w:lastRow="0" w:noHBand="0" w:noVBand="1" w:val="04A0"/>
        <w:tblInd w:w="120" w:type="dxa"/>
      </w:tblPr>
      <w:tblGrid>
        <w:gridCol w:w="2700"/>
        <w:gridCol w:w="6660"/>
      </w:tblGrid>
      <w:tr>
        <w:tc>
          <w:tcPr>
            <w:tcW w:type="dxa" w:w="9360"/>
            <w:gridSpan w:val="2"/>
            <w:shd w:fill="092F26"/>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FFFFFF"/>
                <w:sz w:val="24"/>
              </w:rPr>
              <w:t>U.S. Department of Agriculture</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Service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Solid Waste and Recycling Collection Services</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Contract type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Firm Fixed and IDIQ</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Start date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October 1, 2021</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Scope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Refuse, recycling and construction-debris collection services.</w:t>
            </w:r>
          </w:p>
        </w:tc>
      </w:tr>
    </w:tbl>
    <w:p>
      <w:pPr>
        <w:spacing w:after="40"/>
      </w:pPr>
    </w:p>
    <w:p>
      <w:r>
        <w:br w:type="page"/>
      </w:r>
    </w:p>
    <w:p>
      <w:pPr>
        <w:pStyle w:val="Heading1"/>
      </w:pPr>
      <w:r>
        <w:t>Selected Federal Past Performance (continued)</w:t>
      </w:r>
    </w:p>
    <w:tbl>
      <w:tblPr>
        <w:tblW w:type="dxa" w:w="9360"/>
        <w:jc w:val="left"/>
        <w:tblLayout w:type="fixed"/>
        <w:tblLook w:firstColumn="1" w:firstRow="1" w:lastColumn="0" w:lastRow="0" w:noHBand="0" w:noVBand="1" w:val="04A0"/>
        <w:tblInd w:w="120" w:type="dxa"/>
      </w:tblPr>
      <w:tblGrid>
        <w:gridCol w:w="2700"/>
        <w:gridCol w:w="6660"/>
      </w:tblGrid>
      <w:tr>
        <w:tc>
          <w:tcPr>
            <w:tcW w:type="dxa" w:w="9360"/>
            <w:gridSpan w:val="2"/>
            <w:shd w:fill="092F26"/>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FFFFFF"/>
                <w:sz w:val="24"/>
              </w:rPr>
              <w:t>U.S. State Department</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Service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Solid Waste and Recycling Collection Services</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Contract type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Firm Fixed Price</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Start date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September 15, 2024</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Scope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Refuse, recycling and construction-debris collection services.</w:t>
            </w:r>
          </w:p>
        </w:tc>
      </w:tr>
    </w:tbl>
    <w:p>
      <w:pPr>
        <w:spacing w:after="40"/>
      </w:pPr>
    </w:p>
    <w:p>
      <w:pPr>
        <w:pStyle w:val="Heading1"/>
      </w:pPr>
      <w:r>
        <w:t>Additional Experience</w:t>
      </w:r>
    </w:p>
    <w:p>
      <w:r>
        <w:rPr>
          <w:rFonts w:ascii="Calibri" w:hAnsi="Calibri"/>
          <w:b w:val="0"/>
          <w:i w:val="0"/>
          <w:color w:val="111512"/>
          <w:sz w:val="22"/>
        </w:rPr>
        <w:t>Wilburn's primary and subcontract experience in the Washington metropolitan area also includes:</w:t>
      </w:r>
    </w:p>
    <w:p>
      <w:pPr>
        <w:pStyle w:val="ListBullet"/>
        <w:spacing w:after="80" w:line="300" w:lineRule="auto"/>
        <w:ind w:left="540" w:hanging="271"/>
      </w:pPr>
      <w:r>
        <w:rPr>
          <w:rFonts w:ascii="Calibri" w:hAnsi="Calibri"/>
          <w:b w:val="0"/>
          <w:i w:val="0"/>
          <w:color w:val="111512"/>
          <w:sz w:val="22"/>
        </w:rPr>
        <w:t>Bureau of Engraving and Printing — Primary</w:t>
      </w:r>
    </w:p>
    <w:p>
      <w:pPr>
        <w:pStyle w:val="ListBullet"/>
        <w:spacing w:after="80" w:line="300" w:lineRule="auto"/>
        <w:ind w:left="540" w:hanging="271"/>
      </w:pPr>
      <w:r>
        <w:rPr>
          <w:rFonts w:ascii="Calibri" w:hAnsi="Calibri"/>
          <w:b w:val="0"/>
          <w:i w:val="0"/>
          <w:color w:val="111512"/>
          <w:sz w:val="22"/>
        </w:rPr>
        <w:t>Department of the Interior — Primary</w:t>
      </w:r>
    </w:p>
    <w:p>
      <w:pPr>
        <w:pStyle w:val="ListBullet"/>
        <w:spacing w:after="80" w:line="300" w:lineRule="auto"/>
        <w:ind w:left="540" w:hanging="271"/>
      </w:pPr>
      <w:r>
        <w:rPr>
          <w:rFonts w:ascii="Calibri" w:hAnsi="Calibri"/>
          <w:b w:val="0"/>
          <w:i w:val="0"/>
          <w:color w:val="111512"/>
          <w:sz w:val="22"/>
        </w:rPr>
        <w:t>Department of Commerce — Primary</w:t>
      </w:r>
    </w:p>
    <w:p>
      <w:pPr>
        <w:pStyle w:val="ListBullet"/>
        <w:spacing w:after="80" w:line="300" w:lineRule="auto"/>
        <w:ind w:left="540" w:hanging="271"/>
      </w:pPr>
      <w:r>
        <w:rPr>
          <w:rFonts w:ascii="Calibri" w:hAnsi="Calibri"/>
          <w:b w:val="0"/>
          <w:i w:val="0"/>
          <w:color w:val="111512"/>
          <w:sz w:val="22"/>
        </w:rPr>
        <w:t>Greener Disposal / GSA-NCR — Subcontract</w:t>
      </w:r>
    </w:p>
    <w:p>
      <w:pPr>
        <w:pStyle w:val="Heading1"/>
      </w:pPr>
      <w:r>
        <w:t>Public Business Contact</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Main office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6305 Ivy Lane, Suite 380, Greenbelt, MD 20770</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Business phone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(301) 274-3650</w:t>
            </w:r>
          </w:p>
        </w:tc>
      </w:tr>
      <w:tr>
        <w:tc>
          <w:tcPr>
            <w:tcW w:type="dxa" w:w="2700"/>
            <w:shd w:fill="F1E8C3"/>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i w:val="0"/>
                <w:color w:val="5C176D"/>
                <w:sz w:val="21"/>
              </w:rPr>
              <w:t>Website</w:t>
            </w:r>
          </w:p>
        </w:tc>
        <w:tc>
          <w:tcPr>
            <w:tcW w:type="dxa" w:w="6660"/>
            <w:vAlign w:val="center"/>
            <w:tcMar>
              <w:top w:w="80" w:type="dxa"/>
              <w:bottom w:w="80" w:type="dxa"/>
              <w:start w:w="120" w:type="dxa"/>
              <w:end w:w="120" w:type="dxa"/>
            </w:tcMar>
            <w:tcBorders>
              <w:top w:val="single" w:sz="6" w:space="0" w:color="D8DDD8"/>
              <w:left w:val="single" w:sz="6" w:space="0" w:color="D8DDD8"/>
              <w:bottom w:val="single" w:sz="6" w:space="0" w:color="D8DDD8"/>
              <w:right w:val="single" w:sz="6" w:space="0" w:color="D8DDD8"/>
              <w:insideH w:val="single" w:sz="6" w:space="0" w:color="D8DDD8"/>
              <w:insideV w:val="single" w:sz="6" w:space="0" w:color="D8DDD8"/>
            </w:tcBorders>
          </w:tcPr>
          <w:p>
            <w:pPr>
              <w:spacing w:before="0" w:after="0" w:line="276" w:lineRule="auto"/>
            </w:pPr>
            <w:r/>
            <w:r>
              <w:rPr>
                <w:rFonts w:ascii="Calibri" w:hAnsi="Calibri"/>
                <w:b w:val="0"/>
                <w:i w:val="0"/>
                <w:color w:val="111512"/>
                <w:sz w:val="21"/>
              </w:rPr>
              <w:t>wilburnhauling.com</w:t>
            </w:r>
          </w:p>
        </w:tc>
      </w:tr>
    </w:tbl>
    <w:p>
      <w:pPr>
        <w:spacing w:after="40"/>
      </w:pPr>
    </w:p>
    <w:p>
      <w:pPr>
        <w:spacing w:before="240" w:after="0"/>
      </w:pPr>
      <w:r>
        <w:rPr>
          <w:rFonts w:ascii="Calibri" w:hAnsi="Calibri"/>
          <w:b w:val="0"/>
          <w:i/>
          <w:color w:val="56615D"/>
          <w:sz w:val="18"/>
        </w:rPr>
        <w:t>PUBLIC EDITION: This document is derived from Wilburn Hauling's April 7, 2026 capability statement. Government representatives, SBA representative details, direct emails, direct phone numbers and unnecessary government addresses have been removed. Customer and agency names identify experience only and do not imply endorsement.</w:t>
      </w:r>
    </w:p>
    <w:sectPr w:rsidR="00FC693F" w:rsidRPr="0006063C" w:rsidSect="00034616">
      <w:headerReference w:type="default" r:id="rId9"/>
      <w:footerReference w:type="default" r:id="rId10"/>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56615D"/>
        <w:sz w:val="17"/>
      </w:rPr>
      <w:t xml:space="preserve">Public edition  |  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i w:val="0"/>
        <w:color w:val="56615D"/>
        <w:sz w:val="17"/>
      </w:rPr>
      <w:t>WILBURN HAULING, INC.  |  PUBLIC CAPABILITY STATEMENT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1151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092F26"/>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5C176D"/>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092F26"/>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Wilburn Hauling Public Capability Statement</dc:title>
  <dc:subject>Public contracting capabilities and selected past performance</dc:subject>
  <dc:creator>Wilburn Hauling, Inc.</dc:creator>
  <cp:keywords>solid waste, refuse, recycling, construction debris, SBA 8(a), Women-Owned</cp:keywords>
  <dc:description>generated by python-docx</dc:description>
  <cp:lastModifiedBy/>
  <cp:revision>1</cp:revision>
  <dcterms:created xsi:type="dcterms:W3CDTF">2013-12-23T23:15:00Z</dcterms:created>
  <dcterms:modified xsi:type="dcterms:W3CDTF">2013-12-23T23:15:00Z</dcterms:modified>
  <cp:category/>
</cp:coreProperties>
</file>